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A85F88" w:rsidRDefault="00A85F88">
      <w:pPr>
        <w:ind w:left="1416" w:hanging="1416"/>
        <w:rPr>
          <w:sz w:val="28"/>
        </w:rPr>
      </w:pPr>
      <w:r>
        <w:t>15</w:t>
      </w:r>
      <w:r w:rsidR="00F32F08" w:rsidRPr="00D455D7">
        <w:t>.</w:t>
      </w:r>
      <w:r>
        <w:t>12</w:t>
      </w:r>
      <w:r w:rsidR="00F32F08" w:rsidRPr="00D455D7">
        <w:t>.202</w:t>
      </w:r>
      <w:r w:rsidR="002D2CC4" w:rsidRPr="00D455D7">
        <w:t>2</w:t>
      </w:r>
      <w:r w:rsidR="00F32F08" w:rsidRPr="00D455D7">
        <w:t xml:space="preserve"> </w:t>
      </w:r>
      <w:r>
        <w:t xml:space="preserve"> </w:t>
      </w:r>
      <w:r w:rsidR="00F32F08" w:rsidRPr="00D455D7">
        <w:t>№</w:t>
      </w:r>
      <w:r>
        <w:t>777</w:t>
      </w:r>
      <w:r w:rsidR="00F32F08" w:rsidRPr="00D455D7">
        <w:t xml:space="preserve">                                       </w:t>
      </w:r>
      <w:r w:rsidR="002D2CC4" w:rsidRPr="00D455D7">
        <w:t xml:space="preserve">                                   </w:t>
      </w:r>
      <w:bookmarkStart w:id="0" w:name="_GoBack"/>
      <w:bookmarkEnd w:id="0"/>
    </w:p>
    <w:p w:rsidR="00C5102B" w:rsidRDefault="00F32F08">
      <w:pPr>
        <w:tabs>
          <w:tab w:val="left" w:pos="4140"/>
        </w:tabs>
        <w:ind w:right="4959"/>
      </w:pPr>
      <w:r>
        <w:t>Об утверждении муниципальной программы «Благоустройство территории Красноборского городского поселения Тосненского района Ленинградской области</w:t>
      </w:r>
      <w:r w:rsidR="002D2CC4">
        <w:t>»</w:t>
      </w:r>
      <w:r>
        <w:t xml:space="preserve"> на 202</w:t>
      </w:r>
      <w:r w:rsidR="002D2CC4">
        <w:t>3</w:t>
      </w:r>
      <w:r>
        <w:t>-20</w:t>
      </w:r>
      <w:r w:rsidR="002D2CC4">
        <w:t>25</w:t>
      </w:r>
      <w:r w:rsidR="001925BE">
        <w:t xml:space="preserve">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C5102B" w:rsidRDefault="00F32F08">
      <w:pPr>
        <w:tabs>
          <w:tab w:val="left" w:pos="993"/>
        </w:tabs>
        <w:ind w:firstLine="709"/>
        <w:jc w:val="both"/>
      </w:pPr>
      <w:r>
        <w:t>1.</w:t>
      </w:r>
      <w:r>
        <w:tab/>
        <w:t>Утвердить муниципальную программу «Благоустройство территории Красноборского городского поселения Тосненского района Ленинградской области</w:t>
      </w:r>
      <w:r w:rsidR="00224DCE">
        <w:t>»</w:t>
      </w:r>
      <w:r>
        <w:t xml:space="preserve"> на 202</w:t>
      </w:r>
      <w:r w:rsidR="00224DCE">
        <w:t>3</w:t>
      </w:r>
      <w:r>
        <w:t>-202</w:t>
      </w:r>
      <w:r w:rsidR="00224DCE">
        <w:t>5</w:t>
      </w:r>
      <w:r>
        <w:t xml:space="preserve"> годы в соответствии с приложением. </w:t>
      </w:r>
    </w:p>
    <w:p w:rsidR="00C5102B" w:rsidRDefault="00F32F08">
      <w:pPr>
        <w:jc w:val="both"/>
      </w:pPr>
      <w:r>
        <w:t xml:space="preserve">           </w:t>
      </w:r>
      <w:r w:rsidR="00224DCE">
        <w:t>2</w:t>
      </w:r>
      <w:r>
        <w:t>.Установить, что в ходе реализации муниципальной программы «Благоустройство территории Красноборского городского поселения Тосненского района Ленинградской области</w:t>
      </w:r>
      <w:r w:rsidR="00224DCE">
        <w:t>»</w:t>
      </w:r>
      <w:r>
        <w:t xml:space="preserve"> на 202</w:t>
      </w:r>
      <w:r w:rsidR="00224DCE">
        <w:t>3</w:t>
      </w:r>
      <w:r>
        <w:t>-202</w:t>
      </w:r>
      <w:r w:rsidR="00224DCE">
        <w:t>5</w:t>
      </w:r>
      <w:r w:rsidR="001925BE">
        <w:t xml:space="preserve"> годы</w:t>
      </w:r>
      <w:r>
        <w:t xml:space="preserve"> ежегодной корректировке подлежат мероприятия и объемы их финансирования с учетом изменения бюджета поселения.</w:t>
      </w:r>
    </w:p>
    <w:p w:rsidR="00C5102B" w:rsidRDefault="00F32F08">
      <w:pPr>
        <w:jc w:val="both"/>
      </w:pPr>
      <w:r>
        <w:t xml:space="preserve">           </w:t>
      </w:r>
      <w:r w:rsidR="00224DCE">
        <w:t>3</w:t>
      </w:r>
      <w:r>
        <w:t xml:space="preserve">.Опубликовать (обнародовать) настоящее </w:t>
      </w:r>
      <w:r w:rsidR="001766D3">
        <w:t>постановление</w:t>
      </w:r>
      <w:r>
        <w:t xml:space="preserve"> в порядке, предусмотренном Уставом Красноборского городского поселения Тосненского района Ленинградской области.</w:t>
      </w:r>
    </w:p>
    <w:p w:rsidR="00612597" w:rsidRDefault="00612597">
      <w:pPr>
        <w:jc w:val="both"/>
      </w:pPr>
      <w:r>
        <w:t xml:space="preserve">           4. Настоящее постановление вступает в силу с момента официального опубликования (обнародования).</w:t>
      </w:r>
    </w:p>
    <w:p w:rsidR="00C5102B" w:rsidRDefault="00F32F08">
      <w:pPr>
        <w:jc w:val="both"/>
      </w:pPr>
      <w:r>
        <w:t xml:space="preserve">           </w:t>
      </w:r>
      <w:r w:rsidR="00612597">
        <w:t>5</w:t>
      </w:r>
      <w:r>
        <w:t>.Контроль за исполнением настоящего постановления оставляю за собой.</w:t>
      </w:r>
    </w:p>
    <w:p w:rsidR="00C5102B" w:rsidRDefault="00C5102B"/>
    <w:p w:rsidR="00C5102B" w:rsidRDefault="00C5102B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>Исп. Савченко  Е.А., тел.8-813-61-62-382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E1B79">
        <w:rPr>
          <w:bCs/>
        </w:rPr>
        <w:t xml:space="preserve"> </w:t>
      </w:r>
      <w:r w:rsidR="00A85F88">
        <w:rPr>
          <w:bCs/>
        </w:rPr>
        <w:t>15</w:t>
      </w:r>
      <w:r w:rsidR="00DE1B79">
        <w:rPr>
          <w:bCs/>
        </w:rPr>
        <w:t>.</w:t>
      </w:r>
      <w:r w:rsidR="00A85F88">
        <w:rPr>
          <w:bCs/>
        </w:rPr>
        <w:t>12.</w:t>
      </w:r>
      <w:r w:rsidR="00DE1B79">
        <w:rPr>
          <w:bCs/>
        </w:rPr>
        <w:t>2022</w:t>
      </w:r>
      <w:r>
        <w:rPr>
          <w:bCs/>
        </w:rPr>
        <w:t xml:space="preserve"> № </w:t>
      </w:r>
      <w:r w:rsidR="00A85F88">
        <w:rPr>
          <w:bCs/>
        </w:rPr>
        <w:t>777</w:t>
      </w:r>
    </w:p>
    <w:p w:rsidR="00C5102B" w:rsidRDefault="00C5102B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65B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904ADA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 xml:space="preserve"> на 202</w:t>
      </w:r>
      <w:r>
        <w:t>3</w:t>
      </w:r>
      <w:r w:rsidRPr="005A1C42">
        <w:t>-202</w:t>
      </w:r>
      <w:r>
        <w:t>5</w:t>
      </w:r>
      <w:r w:rsidRPr="005A1C42">
        <w:t xml:space="preserve"> годы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701"/>
        <w:gridCol w:w="1842"/>
        <w:gridCol w:w="1984"/>
        <w:gridCol w:w="1827"/>
      </w:tblGrid>
      <w:tr w:rsidR="00861BDD" w:rsidRPr="005A1C42" w:rsidTr="00AC1EE6">
        <w:trPr>
          <w:trHeight w:val="1435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AC1EE6">
        <w:trPr>
          <w:trHeight w:val="1361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AC1EE6">
        <w:trPr>
          <w:trHeight w:val="1361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AC1EE6">
        <w:trPr>
          <w:trHeight w:val="723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Красноборское МБУ «БИО»</w:t>
            </w:r>
          </w:p>
        </w:tc>
      </w:tr>
      <w:tr w:rsidR="00861BDD" w:rsidRPr="005A1C42" w:rsidTr="00AC1EE6">
        <w:trPr>
          <w:trHeight w:val="691"/>
        </w:trPr>
        <w:tc>
          <w:tcPr>
            <w:tcW w:w="2834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E869DA" w:rsidP="00E86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Предоставление субсидий муниципальным бюджетным и автономным учреждениям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861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354" w:type="dxa"/>
            <w:gridSpan w:val="4"/>
          </w:tcPr>
          <w:p w:rsid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 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Pr="00E6630E">
              <w:rPr>
                <w:sz w:val="22"/>
                <w:szCs w:val="22"/>
              </w:rPr>
              <w:t>повышение уровня внешнего благоустройства и</w:t>
            </w:r>
            <w:r w:rsidRPr="00E6630E">
              <w:rPr>
                <w:sz w:val="22"/>
                <w:szCs w:val="22"/>
              </w:rPr>
              <w:br/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 Совершенствование эстетического вида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-повышение общего  уровня благоустройства поселения.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 – 2025 годы</w:t>
            </w:r>
          </w:p>
        </w:tc>
      </w:tr>
      <w:tr w:rsidR="00861BDD" w:rsidRPr="005A1C42" w:rsidTr="00AC1EE6">
        <w:trPr>
          <w:trHeight w:val="720"/>
        </w:trPr>
        <w:tc>
          <w:tcPr>
            <w:tcW w:w="2834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Объемы бюджетных ассигнований – всего, в том числе по годам </w:t>
            </w:r>
          </w:p>
        </w:tc>
        <w:tc>
          <w:tcPr>
            <w:tcW w:w="7354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AC1EE6">
        <w:trPr>
          <w:trHeight w:val="665"/>
        </w:trPr>
        <w:tc>
          <w:tcPr>
            <w:tcW w:w="2834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2024</w:t>
            </w:r>
          </w:p>
        </w:tc>
        <w:tc>
          <w:tcPr>
            <w:tcW w:w="182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2025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861BDD" w:rsidRPr="00E6630E" w:rsidRDefault="00861BDD" w:rsidP="00163E98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68 65156</w:t>
            </w:r>
            <w:r w:rsidR="00163E98">
              <w:rPr>
                <w:sz w:val="22"/>
                <w:szCs w:val="22"/>
              </w:rPr>
              <w:t>0</w:t>
            </w:r>
            <w:r w:rsidRPr="00E6630E">
              <w:rPr>
                <w:sz w:val="22"/>
                <w:szCs w:val="22"/>
              </w:rPr>
              <w:t>,000</w:t>
            </w:r>
          </w:p>
        </w:tc>
        <w:tc>
          <w:tcPr>
            <w:tcW w:w="1842" w:type="dxa"/>
            <w:vAlign w:val="center"/>
          </w:tcPr>
          <w:p w:rsidR="00861BDD" w:rsidRPr="00E6630E" w:rsidRDefault="00084C00" w:rsidP="00163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15 725 96</w:t>
            </w:r>
            <w:r w:rsidR="00163E98">
              <w:rPr>
                <w:sz w:val="22"/>
                <w:szCs w:val="22"/>
              </w:rPr>
              <w:t>0</w:t>
            </w:r>
            <w:r w:rsidR="00861BDD" w:rsidRPr="00E6630E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26 462 800,00</w:t>
            </w:r>
          </w:p>
        </w:tc>
        <w:tc>
          <w:tcPr>
            <w:tcW w:w="182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26 462 800,00</w:t>
            </w:r>
          </w:p>
        </w:tc>
      </w:tr>
      <w:tr w:rsidR="00861BDD" w:rsidRPr="005A1C42" w:rsidTr="00AC1EE6">
        <w:tc>
          <w:tcPr>
            <w:tcW w:w="2834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354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</w:t>
      </w:r>
      <w:r>
        <w:lastRenderedPageBreak/>
        <w:t xml:space="preserve"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C5102B">
      <w:pPr>
        <w:ind w:firstLine="600"/>
        <w:jc w:val="both"/>
        <w:rPr>
          <w:color w:val="000000"/>
        </w:rPr>
      </w:pP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 В течение 2022 - 2024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эстетического вида Красноборского городского поселение Тосненского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C5102B">
      <w:pPr>
        <w:jc w:val="both"/>
        <w:rPr>
          <w:color w:val="000000"/>
        </w:rPr>
      </w:pP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Default="00F32F08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C5102B" w:rsidRDefault="00C5102B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center"/>
      </w:pPr>
      <w:r>
        <w:rPr>
          <w:sz w:val="28"/>
          <w:szCs w:val="28"/>
        </w:rPr>
        <w:t>202</w:t>
      </w:r>
      <w:r w:rsidR="00861BD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61BDD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C5102B" w:rsidRDefault="00C5102B">
      <w:pPr>
        <w:jc w:val="center"/>
        <w:outlineLvl w:val="1"/>
      </w:pPr>
    </w:p>
    <w:p w:rsidR="00C5102B" w:rsidRDefault="00F32F08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pStyle w:val="printj"/>
        <w:spacing w:before="0" w:after="0"/>
        <w:jc w:val="both"/>
      </w:pP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Default="00C5102B">
      <w:pPr>
        <w:jc w:val="center"/>
        <w:outlineLvl w:val="2"/>
      </w:pPr>
    </w:p>
    <w:p w:rsidR="00C5102B" w:rsidRDefault="00F32F08">
      <w:pPr>
        <w:jc w:val="right"/>
      </w:pPr>
      <w:r>
        <w:t>Таблица  1</w:t>
      </w:r>
    </w:p>
    <w:p w:rsidR="00C5102B" w:rsidRDefault="00F32F08">
      <w:pPr>
        <w:jc w:val="center"/>
      </w:pPr>
      <w:r>
        <w:rPr>
          <w:b/>
        </w:rPr>
        <w:t>202</w:t>
      </w:r>
      <w:r w:rsidR="00C4656C">
        <w:rPr>
          <w:b/>
        </w:rPr>
        <w:t>3</w:t>
      </w:r>
      <w:r>
        <w:rPr>
          <w:b/>
        </w:rPr>
        <w:t xml:space="preserve"> год</w:t>
      </w:r>
    </w:p>
    <w:p w:rsidR="00C5102B" w:rsidRDefault="00F32F08">
      <w:pPr>
        <w:jc w:val="right"/>
      </w:pPr>
      <w:r>
        <w:t>(руб.)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1355"/>
        <w:gridCol w:w="1134"/>
        <w:gridCol w:w="1418"/>
        <w:gridCol w:w="1559"/>
      </w:tblGrid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использования средств программы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инвесторов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774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</w:t>
            </w:r>
            <w:r w:rsidR="00F32F08">
              <w:rPr>
                <w:sz w:val="23"/>
                <w:szCs w:val="23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rPr>
                <w:sz w:val="23"/>
                <w:szCs w:val="23"/>
              </w:rPr>
              <w:t>Итого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Уличное освещение электроэнергия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Энергосервисный контракт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Содержание гражданских и воинских захоронений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Составление сметной документации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Предоставление субсидии на проведение работ МБУ Красноборского городского поселения «БиО»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4656C">
            <w:r>
              <w:t>Составление и экспертиза сметной документации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32F08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Pr="00C4656C" w:rsidRDefault="00C4656C">
            <w:r>
              <w:t>Обеспечение связи «Мегафон» (</w:t>
            </w:r>
            <w:r>
              <w:rPr>
                <w:lang w:val="en-US"/>
              </w:rPr>
              <w:t>sim</w:t>
            </w:r>
            <w:r w:rsidRPr="00C4656C">
              <w:t>-</w:t>
            </w:r>
            <w:r>
              <w:t>карты для передачи показаний ул.освещение)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C4656C" w:rsidP="00C46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</w:tr>
      <w:tr w:rsidR="00774CBF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Default="00774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Pr="00DB5FC3" w:rsidRDefault="00774CBF">
            <w:pPr>
              <w:rPr>
                <w:b/>
              </w:rPr>
            </w:pPr>
            <w:r w:rsidRPr="00DB5FC3">
              <w:rPr>
                <w:color w:val="000000"/>
              </w:rPr>
              <w:t>Устройство основания детской площадки, установка и монтаж  детского игрового оборудования на ул.10- Дорога (депутатские средства)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Default="00774C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BF" w:rsidRPr="00774CBF" w:rsidRDefault="00774CBF">
            <w:pPr>
              <w:jc w:val="center"/>
              <w:rPr>
                <w:sz w:val="22"/>
                <w:szCs w:val="22"/>
              </w:rPr>
            </w:pPr>
          </w:p>
          <w:p w:rsidR="00774CBF" w:rsidRPr="00774CBF" w:rsidRDefault="00774CBF">
            <w:pPr>
              <w:jc w:val="center"/>
              <w:rPr>
                <w:sz w:val="22"/>
                <w:szCs w:val="22"/>
              </w:rPr>
            </w:pPr>
          </w:p>
          <w:p w:rsidR="00774CBF" w:rsidRPr="00774CBF" w:rsidRDefault="00774CBF">
            <w:pPr>
              <w:jc w:val="center"/>
              <w:rPr>
                <w:sz w:val="22"/>
                <w:szCs w:val="22"/>
              </w:rPr>
            </w:pPr>
            <w:r w:rsidRPr="00774CBF">
              <w:rPr>
                <w:sz w:val="22"/>
                <w:szCs w:val="22"/>
              </w:rPr>
              <w:t>1200000,00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BF" w:rsidRPr="00774CBF" w:rsidRDefault="00774CBF" w:rsidP="00163E98">
            <w:pPr>
              <w:rPr>
                <w:sz w:val="22"/>
                <w:szCs w:val="22"/>
              </w:rPr>
            </w:pPr>
            <w:r w:rsidRPr="00774CBF">
              <w:rPr>
                <w:sz w:val="22"/>
                <w:szCs w:val="22"/>
              </w:rPr>
              <w:t xml:space="preserve">     6316</w:t>
            </w:r>
            <w:r w:rsidR="00163E98">
              <w:rPr>
                <w:sz w:val="22"/>
                <w:szCs w:val="22"/>
              </w:rPr>
              <w:t>0</w:t>
            </w:r>
            <w:r w:rsidRPr="00774CB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BF" w:rsidRPr="00774CBF" w:rsidRDefault="00774CBF" w:rsidP="003E252A">
            <w:pPr>
              <w:rPr>
                <w:sz w:val="22"/>
                <w:szCs w:val="22"/>
              </w:rPr>
            </w:pPr>
            <w:r w:rsidRPr="00774CBF">
              <w:rPr>
                <w:sz w:val="22"/>
                <w:szCs w:val="22"/>
              </w:rPr>
              <w:t xml:space="preserve"> 1 26316</w:t>
            </w:r>
            <w:r w:rsidR="003E252A">
              <w:rPr>
                <w:sz w:val="22"/>
                <w:szCs w:val="22"/>
              </w:rPr>
              <w:t>0</w:t>
            </w:r>
            <w:r w:rsidRPr="00774CBF">
              <w:rPr>
                <w:sz w:val="22"/>
                <w:szCs w:val="22"/>
              </w:rPr>
              <w:t>,00</w:t>
            </w:r>
          </w:p>
        </w:tc>
      </w:tr>
      <w:tr w:rsidR="00C5102B" w:rsidTr="00C270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Pr="00774CBF" w:rsidRDefault="00774CBF">
            <w:pPr>
              <w:jc w:val="center"/>
              <w:rPr>
                <w:b/>
                <w:sz w:val="22"/>
                <w:szCs w:val="22"/>
              </w:rPr>
            </w:pPr>
            <w:r w:rsidRPr="00774CBF">
              <w:rPr>
                <w:b/>
                <w:sz w:val="22"/>
                <w:szCs w:val="22"/>
              </w:rPr>
              <w:t>1200</w:t>
            </w:r>
            <w:r>
              <w:rPr>
                <w:b/>
                <w:sz w:val="22"/>
                <w:szCs w:val="22"/>
              </w:rPr>
              <w:t>000</w:t>
            </w:r>
            <w:r w:rsidRPr="00774CB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Pr="00774CBF" w:rsidRDefault="00F32F08" w:rsidP="00163E98">
            <w:pPr>
              <w:rPr>
                <w:b/>
                <w:sz w:val="22"/>
                <w:szCs w:val="22"/>
              </w:rPr>
            </w:pPr>
            <w:r w:rsidRPr="00774CBF">
              <w:rPr>
                <w:b/>
                <w:sz w:val="22"/>
                <w:szCs w:val="22"/>
              </w:rPr>
              <w:t>1</w:t>
            </w:r>
            <w:r w:rsidR="009B70D6">
              <w:rPr>
                <w:b/>
                <w:sz w:val="22"/>
                <w:szCs w:val="22"/>
              </w:rPr>
              <w:t>45</w:t>
            </w:r>
            <w:r w:rsidR="001D3684" w:rsidRPr="00774CBF">
              <w:rPr>
                <w:b/>
                <w:sz w:val="22"/>
                <w:szCs w:val="22"/>
              </w:rPr>
              <w:t>25</w:t>
            </w:r>
            <w:r w:rsidRPr="00774CBF">
              <w:rPr>
                <w:b/>
                <w:sz w:val="22"/>
                <w:szCs w:val="22"/>
              </w:rPr>
              <w:t> 9</w:t>
            </w:r>
            <w:r w:rsidR="001D3684" w:rsidRPr="00774CBF">
              <w:rPr>
                <w:b/>
                <w:sz w:val="22"/>
                <w:szCs w:val="22"/>
              </w:rPr>
              <w:t>6</w:t>
            </w:r>
            <w:r w:rsidR="00163E98">
              <w:rPr>
                <w:b/>
                <w:sz w:val="22"/>
                <w:szCs w:val="22"/>
              </w:rPr>
              <w:t>0</w:t>
            </w:r>
            <w:r w:rsidRPr="00774CB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Pr="00774CBF" w:rsidRDefault="00F32F08" w:rsidP="00163E98">
            <w:pPr>
              <w:jc w:val="center"/>
              <w:rPr>
                <w:b/>
                <w:sz w:val="22"/>
                <w:szCs w:val="22"/>
              </w:rPr>
            </w:pPr>
            <w:r w:rsidRPr="00774CBF">
              <w:rPr>
                <w:b/>
                <w:sz w:val="22"/>
                <w:szCs w:val="22"/>
              </w:rPr>
              <w:t>1</w:t>
            </w:r>
            <w:r w:rsidR="001D3684" w:rsidRPr="00774CBF">
              <w:rPr>
                <w:b/>
                <w:sz w:val="22"/>
                <w:szCs w:val="22"/>
              </w:rPr>
              <w:t>5</w:t>
            </w:r>
            <w:r w:rsidRPr="00774CBF">
              <w:rPr>
                <w:b/>
                <w:sz w:val="22"/>
                <w:szCs w:val="22"/>
              </w:rPr>
              <w:t xml:space="preserve"> 7</w:t>
            </w:r>
            <w:r w:rsidR="001D3684" w:rsidRPr="00774CBF">
              <w:rPr>
                <w:b/>
                <w:sz w:val="22"/>
                <w:szCs w:val="22"/>
              </w:rPr>
              <w:t>25</w:t>
            </w:r>
            <w:r w:rsidRPr="00774CBF">
              <w:rPr>
                <w:b/>
                <w:sz w:val="22"/>
                <w:szCs w:val="22"/>
              </w:rPr>
              <w:t xml:space="preserve"> 9</w:t>
            </w:r>
            <w:r w:rsidR="001D3684" w:rsidRPr="00774CBF">
              <w:rPr>
                <w:b/>
                <w:sz w:val="22"/>
                <w:szCs w:val="22"/>
              </w:rPr>
              <w:t>6</w:t>
            </w:r>
            <w:r w:rsidR="00163E98">
              <w:rPr>
                <w:b/>
                <w:sz w:val="22"/>
                <w:szCs w:val="22"/>
              </w:rPr>
              <w:t>0</w:t>
            </w:r>
            <w:r w:rsidRPr="00774CBF">
              <w:rPr>
                <w:b/>
                <w:sz w:val="22"/>
                <w:szCs w:val="22"/>
              </w:rPr>
              <w:t>,00</w:t>
            </w:r>
          </w:p>
        </w:tc>
      </w:tr>
    </w:tbl>
    <w:p w:rsidR="00C5102B" w:rsidRDefault="00C5102B">
      <w:pPr>
        <w:jc w:val="center"/>
      </w:pPr>
    </w:p>
    <w:p w:rsidR="00C5102B" w:rsidRDefault="00C5102B">
      <w:pPr>
        <w:jc w:val="center"/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663CF8">
        <w:t>3</w:t>
      </w:r>
      <w:r>
        <w:t xml:space="preserve"> году силами Муниципального бюджетного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сбора людей;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C5102B" w:rsidRDefault="00F32F08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</w:pPr>
      <w:r>
        <w:rPr>
          <w:b/>
        </w:rPr>
        <w:t>202</w:t>
      </w:r>
      <w:r w:rsidR="00663CF8">
        <w:rPr>
          <w:b/>
        </w:rPr>
        <w:t>4</w:t>
      </w:r>
      <w:r>
        <w:rPr>
          <w:b/>
        </w:rPr>
        <w:t xml:space="preserve"> год</w:t>
      </w:r>
    </w:p>
    <w:p w:rsidR="00C5102B" w:rsidRDefault="00F32F08">
      <w:pPr>
        <w:jc w:val="right"/>
        <w:rPr>
          <w:b/>
        </w:rPr>
      </w:pPr>
      <w:r>
        <w:rPr>
          <w:b/>
        </w:rPr>
        <w:t>(руб.)</w:t>
      </w:r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05"/>
        <w:gridCol w:w="3416"/>
        <w:gridCol w:w="1221"/>
        <w:gridCol w:w="1134"/>
        <w:gridCol w:w="1559"/>
        <w:gridCol w:w="1559"/>
      </w:tblGrid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№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 xml:space="preserve">Наименование направлений    </w:t>
            </w:r>
            <w:r>
              <w:br/>
              <w:t>использования средств программы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Средства инвесторов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итого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Уличное освещение электроэнергия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Энергосервисный контракт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Содержание гражданских и воинских захоронений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Составление сметной документации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Предоставление субсидии на проведение работ МБУ Красноборского городского поселения «БиО»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505647" w:rsidP="00505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505647" w:rsidP="00505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</w:t>
            </w:r>
            <w:r w:rsidR="00F32F08">
              <w:rPr>
                <w:sz w:val="22"/>
                <w:szCs w:val="22"/>
              </w:rPr>
              <w:t>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283D49">
            <w:r>
              <w:t>Обеспечение связи «Мегафон» (</w:t>
            </w:r>
            <w:r>
              <w:rPr>
                <w:lang w:val="en-US"/>
              </w:rPr>
              <w:t>sim</w:t>
            </w:r>
            <w:r w:rsidRPr="00C4656C">
              <w:t>-</w:t>
            </w:r>
            <w:r>
              <w:t>карты для передачи показаний ул.освещение)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283D49" w:rsidP="0028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283D49" w:rsidP="0028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2F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32F08">
              <w:rPr>
                <w:sz w:val="22"/>
                <w:szCs w:val="22"/>
              </w:rPr>
              <w:t>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</w:pPr>
            <w:r>
              <w:lastRenderedPageBreak/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Строительство тротуара пр-кт Карла Маркса, г.п. Красный Бор </w:t>
            </w:r>
            <w:r w:rsidR="000156D7">
              <w:t>(2 этап)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2F08">
              <w:rPr>
                <w:sz w:val="22"/>
                <w:szCs w:val="22"/>
              </w:rPr>
              <w:t> 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2F08">
              <w:rPr>
                <w:sz w:val="22"/>
                <w:szCs w:val="22"/>
              </w:rPr>
              <w:t> 000 000,00</w:t>
            </w:r>
          </w:p>
        </w:tc>
      </w:tr>
      <w:tr w:rsidR="00C5102B" w:rsidTr="00F76B81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 w:rsidP="00015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32F0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462</w:t>
            </w:r>
            <w:r w:rsidR="00F32F0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F32F08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0156D7" w:rsidP="000156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32F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462</w:t>
            </w:r>
            <w:r w:rsidR="00F32F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="00F32F08">
              <w:rPr>
                <w:b/>
                <w:sz w:val="22"/>
                <w:szCs w:val="22"/>
              </w:rPr>
              <w:t>00,00</w:t>
            </w:r>
          </w:p>
        </w:tc>
      </w:tr>
    </w:tbl>
    <w:p w:rsidR="00C5102B" w:rsidRDefault="00C5102B">
      <w:pPr>
        <w:jc w:val="center"/>
        <w:rPr>
          <w:b/>
        </w:rPr>
      </w:pPr>
    </w:p>
    <w:p w:rsidR="00C5102B" w:rsidRDefault="00C5102B">
      <w:pPr>
        <w:ind w:firstLine="709"/>
        <w:jc w:val="both"/>
        <w:rPr>
          <w:b/>
        </w:rPr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0E7FF0">
        <w:t>4</w:t>
      </w:r>
      <w:r>
        <w:t xml:space="preserve"> году силами Муниципального бюджетного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C5102B">
      <w:pPr>
        <w:ind w:firstLine="709"/>
        <w:jc w:val="both"/>
      </w:pP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пользования;</w:t>
      </w:r>
    </w:p>
    <w:p w:rsidR="00C5102B" w:rsidRDefault="00F32F08">
      <w:pPr>
        <w:ind w:firstLine="709"/>
        <w:jc w:val="both"/>
      </w:pPr>
      <w:r>
        <w:t>3.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4. Ликвидация несанкционированных свалок;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C5102B" w:rsidRDefault="00F32F08">
      <w:pPr>
        <w:ind w:firstLine="709"/>
        <w:jc w:val="both"/>
      </w:pPr>
      <w:r>
        <w:t>6. Летнее и зимнее содержание дорог.</w:t>
      </w:r>
    </w:p>
    <w:p w:rsidR="00C5102B" w:rsidRDefault="00C5102B">
      <w:pPr>
        <w:ind w:firstLine="709"/>
        <w:jc w:val="center"/>
        <w:rPr>
          <w:b/>
        </w:rPr>
      </w:pPr>
    </w:p>
    <w:p w:rsidR="00C5102B" w:rsidRDefault="00F32F08">
      <w:pPr>
        <w:ind w:firstLine="709"/>
        <w:jc w:val="center"/>
      </w:pPr>
      <w:r>
        <w:rPr>
          <w:b/>
        </w:rPr>
        <w:t>202</w:t>
      </w:r>
      <w:r w:rsidR="00A25D73">
        <w:rPr>
          <w:b/>
        </w:rPr>
        <w:t>5</w:t>
      </w:r>
      <w:r>
        <w:rPr>
          <w:b/>
        </w:rPr>
        <w:t xml:space="preserve"> год</w:t>
      </w:r>
    </w:p>
    <w:p w:rsidR="00C5102B" w:rsidRDefault="00C5102B">
      <w:pPr>
        <w:jc w:val="center"/>
        <w:rPr>
          <w:b/>
        </w:rPr>
      </w:pPr>
    </w:p>
    <w:tbl>
      <w:tblPr>
        <w:tblW w:w="1003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88"/>
        <w:gridCol w:w="3371"/>
        <w:gridCol w:w="1378"/>
        <w:gridCol w:w="1256"/>
        <w:gridCol w:w="1481"/>
        <w:gridCol w:w="1562"/>
      </w:tblGrid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№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Наименование направлений</w:t>
            </w:r>
          </w:p>
          <w:p w:rsidR="00C5102B" w:rsidRDefault="00F32F08">
            <w:pPr>
              <w:jc w:val="center"/>
            </w:pPr>
            <w:r>
              <w:t>использования средств программы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Средства инвесторов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Районный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Бюджет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итого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32F08">
              <w:rPr>
                <w:sz w:val="22"/>
                <w:szCs w:val="22"/>
              </w:rPr>
              <w:t>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Уличное освещение электроэнергия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 xml:space="preserve">Энергосервисный контракт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Содержание гражданских и воинских захоронений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Составление сметной документации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5102B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pPr>
              <w:jc w:val="center"/>
            </w:pPr>
            <w: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F32F08">
            <w:r>
              <w:t>Предоставление субсидии на проведение работ МБУ Красноборского городского поселения «БиО»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2B" w:rsidRDefault="00C5102B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6 405 000,00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2B" w:rsidRDefault="00F3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6 405 000,00</w:t>
            </w:r>
          </w:p>
        </w:tc>
      </w:tr>
      <w:tr w:rsidR="00A25D73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jc w:val="center"/>
            </w:pPr>
            <w: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r>
              <w:t>Обеспечение связи «Мегафон» (</w:t>
            </w:r>
            <w:r>
              <w:rPr>
                <w:lang w:val="en-US"/>
              </w:rPr>
              <w:t>sim</w:t>
            </w:r>
            <w:r w:rsidRPr="00C4656C">
              <w:t>-</w:t>
            </w:r>
            <w:r>
              <w:t>карты для передачи показаний ул.освещение)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A25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</w:tr>
      <w:tr w:rsidR="00A25D73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jc w:val="center"/>
            </w:pPr>
            <w: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0E1B22" w:rsidP="00A25D73">
            <w:r>
              <w:t>Благоустройство территории вокруг Дома культуры по ул.Горская п.Красный Бор</w:t>
            </w:r>
            <w:r w:rsidR="00A25D73"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0E1B22" w:rsidP="00A25D7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A25D73">
              <w:rPr>
                <w:sz w:val="22"/>
                <w:szCs w:val="22"/>
              </w:rPr>
              <w:t> 000 000,00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0E1B2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E1B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000 000,00</w:t>
            </w:r>
          </w:p>
        </w:tc>
      </w:tr>
      <w:tr w:rsidR="00A25D73" w:rsidTr="00C270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3" w:rsidRDefault="00A25D73" w:rsidP="00A25D73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0E1B2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0E1B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0E1B22">
              <w:rPr>
                <w:b/>
                <w:sz w:val="22"/>
                <w:szCs w:val="22"/>
              </w:rPr>
              <w:t>462</w:t>
            </w:r>
            <w:r>
              <w:rPr>
                <w:b/>
                <w:sz w:val="22"/>
                <w:szCs w:val="22"/>
              </w:rPr>
              <w:t> </w:t>
            </w:r>
            <w:r w:rsidR="000E1B2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3" w:rsidRDefault="00A25D73" w:rsidP="000E1B22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0E1B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E1B22">
              <w:rPr>
                <w:b/>
                <w:sz w:val="22"/>
                <w:szCs w:val="22"/>
              </w:rPr>
              <w:t>462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E1B2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 в  202</w:t>
      </w:r>
      <w:r w:rsidR="009665AE">
        <w:t>5</w:t>
      </w:r>
      <w:r>
        <w:t xml:space="preserve"> году силами Муниципального бюджетного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lastRenderedPageBreak/>
        <w:t>2. Покос травы и борьба с борщевиком Сосновского в районе детских площадок, придомовых территориях МКД, местах общего пользования;</w:t>
      </w:r>
    </w:p>
    <w:p w:rsidR="00C5102B" w:rsidRDefault="00F32F08">
      <w:pPr>
        <w:ind w:firstLine="709"/>
        <w:jc w:val="both"/>
      </w:pPr>
      <w:r>
        <w:t>3.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4. Очистка муниципальной территории Красноборского городского поселения от мусора;</w:t>
      </w:r>
    </w:p>
    <w:p w:rsidR="00C5102B" w:rsidRDefault="00F32F08">
      <w:pPr>
        <w:ind w:firstLine="709"/>
        <w:jc w:val="both"/>
      </w:pPr>
      <w:r>
        <w:t>5. Очистка канав, дренажной системы и  ремонт водопропускных труб;</w:t>
      </w:r>
    </w:p>
    <w:p w:rsidR="00C5102B" w:rsidRDefault="00F32F08">
      <w:pPr>
        <w:ind w:firstLine="709"/>
        <w:jc w:val="both"/>
      </w:pPr>
      <w:r>
        <w:t>6. Летнее и зимнее содержание дорог.</w:t>
      </w:r>
    </w:p>
    <w:p w:rsidR="00C5102B" w:rsidRDefault="00C5102B">
      <w:pPr>
        <w:ind w:firstLine="540"/>
        <w:jc w:val="both"/>
      </w:pPr>
    </w:p>
    <w:p w:rsidR="00B5303B" w:rsidRDefault="00B5303B">
      <w:pPr>
        <w:spacing w:line="228" w:lineRule="auto"/>
        <w:jc w:val="center"/>
        <w:rPr>
          <w:b/>
          <w:sz w:val="28"/>
          <w:szCs w:val="28"/>
        </w:rPr>
      </w:pPr>
    </w:p>
    <w:p w:rsidR="00C5102B" w:rsidRDefault="00F32F0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C5102B">
      <w:pPr>
        <w:pStyle w:val="afe"/>
        <w:spacing w:before="0" w:after="0"/>
        <w:ind w:firstLine="540"/>
        <w:jc w:val="both"/>
      </w:pPr>
    </w:p>
    <w:p w:rsidR="00C5102B" w:rsidRDefault="00F32F08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C5102B" w:rsidRDefault="00F32F08">
      <w:pPr>
        <w:ind w:firstLine="540"/>
        <w:jc w:val="both"/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11" w:rsidRDefault="00682311">
      <w:r>
        <w:separator/>
      </w:r>
    </w:p>
  </w:endnote>
  <w:endnote w:type="continuationSeparator" w:id="0">
    <w:p w:rsidR="00682311" w:rsidRDefault="0068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11" w:rsidRDefault="00682311">
      <w:r>
        <w:separator/>
      </w:r>
    </w:p>
  </w:footnote>
  <w:footnote w:type="continuationSeparator" w:id="0">
    <w:p w:rsidR="00682311" w:rsidRDefault="0068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B"/>
    <w:rsid w:val="000156D7"/>
    <w:rsid w:val="00084C00"/>
    <w:rsid w:val="000E1B22"/>
    <w:rsid w:val="000E7FF0"/>
    <w:rsid w:val="00163E98"/>
    <w:rsid w:val="001766D3"/>
    <w:rsid w:val="001925BE"/>
    <w:rsid w:val="001D3684"/>
    <w:rsid w:val="001E681F"/>
    <w:rsid w:val="00223580"/>
    <w:rsid w:val="00224DCE"/>
    <w:rsid w:val="00283D49"/>
    <w:rsid w:val="00291971"/>
    <w:rsid w:val="002D2CC4"/>
    <w:rsid w:val="003E252A"/>
    <w:rsid w:val="004B3DA0"/>
    <w:rsid w:val="004E78D4"/>
    <w:rsid w:val="00505647"/>
    <w:rsid w:val="005A6149"/>
    <w:rsid w:val="00612597"/>
    <w:rsid w:val="00663CF8"/>
    <w:rsid w:val="00682311"/>
    <w:rsid w:val="00765BD5"/>
    <w:rsid w:val="00774CBF"/>
    <w:rsid w:val="007E42B0"/>
    <w:rsid w:val="00854E7F"/>
    <w:rsid w:val="00861BDD"/>
    <w:rsid w:val="00904ADA"/>
    <w:rsid w:val="00907A09"/>
    <w:rsid w:val="009665AE"/>
    <w:rsid w:val="009B70D6"/>
    <w:rsid w:val="009D5A8C"/>
    <w:rsid w:val="00A25D73"/>
    <w:rsid w:val="00A83290"/>
    <w:rsid w:val="00A85F88"/>
    <w:rsid w:val="00B5303B"/>
    <w:rsid w:val="00C270CD"/>
    <w:rsid w:val="00C4656C"/>
    <w:rsid w:val="00C5102B"/>
    <w:rsid w:val="00CA25FC"/>
    <w:rsid w:val="00D455D7"/>
    <w:rsid w:val="00DB5FC3"/>
    <w:rsid w:val="00DE1B79"/>
    <w:rsid w:val="00E6630E"/>
    <w:rsid w:val="00E869DA"/>
    <w:rsid w:val="00EA7265"/>
    <w:rsid w:val="00F32F08"/>
    <w:rsid w:val="00F76B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9984"/>
  <w15:docId w15:val="{DD7A06F2-7879-4CFB-8548-C53B008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> </cp:keywords>
  <dc:description/>
  <cp:lastModifiedBy>1</cp:lastModifiedBy>
  <cp:revision>2</cp:revision>
  <dcterms:created xsi:type="dcterms:W3CDTF">2022-12-16T06:50:00Z</dcterms:created>
  <dcterms:modified xsi:type="dcterms:W3CDTF">2022-12-16T06:50:00Z</dcterms:modified>
  <dc:language>en-US</dc:language>
</cp:coreProperties>
</file>