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26" w:rsidRPr="003F5800" w:rsidRDefault="00BF3232" w:rsidP="00465926">
      <w:pPr>
        <w:tabs>
          <w:tab w:val="left" w:pos="2105"/>
          <w:tab w:val="left" w:pos="259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п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рогноз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Красноборского городского поселения Тосненского райо</w:t>
      </w:r>
      <w:r w:rsidR="00A2268C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201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F5800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F5800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и 2021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5926" w:rsidRPr="00465926" w:rsidRDefault="00465926" w:rsidP="004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прогноза развития экономики и социальной сферы Красноборского  городского поселения   Тосненского района Ленинградской области (далее-поселение)    на 201</w:t>
      </w:r>
      <w:r w:rsidR="00ED17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достигнутый уровень развития основных отраслей экономики и социальной сферы поселения за </w:t>
      </w:r>
      <w:r w:rsidR="009027A0" w:rsidRPr="009027A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намерения субъектов хозяйственной деятельности на  201</w:t>
      </w:r>
      <w:r w:rsidR="003966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сценарные условия социально-экономического развития Российской Федерации на </w:t>
      </w:r>
      <w:r w:rsidR="009027A0" w:rsidRPr="0090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902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 и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D17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экономической политики будет создание условий, которые обеспечат устойчивые темпы экономического роста. Они могут быть достигнуты путем решения следующих приоритетных задач: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эффективности использования имеющихся в поселении природных, трудовых ресурсов, свободных производственных площадей и мощностей;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системы мер и дальнейшее развитие инфраструктуры, способствующих становлению и укреплению малого бизнеса;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сохранение благоприятного предпринимательского и инвестиционного климата на территории поселения.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Поселение в соответствие с областным законом от 22 декабря 2004 года № 116-оз       «Об установлении границ и наделении соответствующим статусом муниципального образования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муниципальных образований в его составе» входит в состав Тосненского муниципального района Ленинградской области.       В состав поселения входят четыре населенных пункта: городской поселок Красный Бор, административный центр поселения, расположенный в </w:t>
      </w:r>
      <w:smartTag w:uri="urn:schemas-microsoft-com:office:smarttags" w:element="metricconverter">
        <w:smartTagPr>
          <w:attr w:name="ProductID" w:val="20 км"/>
        </w:smartTagPr>
        <w:r w:rsidRPr="00465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юго-востоку                                 от  Санкт-Петербурга, деревни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находится в северной части муниципального района: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на западе – с Фёдоровским сельским поселением; на северо-востоке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поселением: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 основным предприятиям, осуществляющим свою деятельность на территории поселения, относятся: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искарс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Рус»,                       ООО«СМУ171»,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ООО«Радиус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АвтоБалтСервисПлюс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Сотранс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Сити»,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ЭнергоПромМонтаж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действующих на территории поселения предприятий приведен в таблице 1.1: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-48"/>
        <w:tblW w:w="9322" w:type="dxa"/>
        <w:tblLook w:val="0000" w:firstRow="0" w:lastRow="0" w:firstColumn="0" w:lastColumn="0" w:noHBand="0" w:noVBand="0"/>
      </w:tblPr>
      <w:tblGrid>
        <w:gridCol w:w="3085"/>
        <w:gridCol w:w="6237"/>
      </w:tblGrid>
      <w:tr w:rsidR="00465926" w:rsidRPr="00465926" w:rsidTr="008D5A28">
        <w:trPr>
          <w:trHeight w:val="95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Наименование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ЗАО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Фискарс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Бранд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Рус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«СМУ-171»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Радиус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Деревообрабатывающее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производство</w:t>
            </w:r>
            <w:proofErr w:type="spellEnd"/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Атлант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Строй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Сервис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Балтнефтепровод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Транспортировка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светлых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нефтепродуктов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465926" w:rsidRPr="00465926" w:rsidTr="008D5A2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ЗАО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Статойл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Многотопливный заправочный комплекс на автодороге «Россия»</w:t>
            </w:r>
          </w:p>
        </w:tc>
      </w:tr>
      <w:tr w:rsidR="00465926" w:rsidRPr="00465926" w:rsidTr="008D5A28">
        <w:trPr>
          <w:trHeight w:val="19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Сотранс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Сити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Комплекс по обслуживанию и продаже грузовых автомобилей</w:t>
            </w:r>
          </w:p>
        </w:tc>
      </w:tr>
      <w:tr w:rsidR="00465926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АвтоБалтСервисПлюс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Стоянка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грузового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автотранспорта</w:t>
            </w:r>
            <w:proofErr w:type="spellEnd"/>
          </w:p>
        </w:tc>
      </w:tr>
      <w:tr w:rsidR="00ED1715" w:rsidRPr="00465926" w:rsidTr="008D5A2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5" w:rsidRPr="004D73AF" w:rsidRDefault="00ED1715" w:rsidP="00A55C21">
            <w:proofErr w:type="spellStart"/>
            <w:r w:rsidRPr="004D73AF">
              <w:t>ОО</w:t>
            </w:r>
            <w:proofErr w:type="gramStart"/>
            <w:r w:rsidRPr="004D73AF">
              <w:t>О"</w:t>
            </w:r>
            <w:proofErr w:type="gramEnd"/>
            <w:r w:rsidRPr="004D73AF">
              <w:t>КардиоПротект</w:t>
            </w:r>
            <w:proofErr w:type="spellEnd"/>
            <w:r w:rsidRPr="004D73AF">
              <w:t>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715" w:rsidRPr="004D73AF" w:rsidRDefault="00ED1715" w:rsidP="00A55C21">
            <w:r w:rsidRPr="004D73AF">
              <w:t>Административные складские здания</w:t>
            </w:r>
          </w:p>
        </w:tc>
      </w:tr>
      <w:tr w:rsidR="00465926" w:rsidRPr="00465926" w:rsidTr="008D5A28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Фининвест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Стоянка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грузового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автотранспорта</w:t>
            </w:r>
            <w:proofErr w:type="spellEnd"/>
          </w:p>
        </w:tc>
      </w:tr>
      <w:tr w:rsidR="00465926" w:rsidRPr="00465926" w:rsidTr="008D5A28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ООО «НПКФ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Ресурс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Складская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база</w:t>
            </w:r>
            <w:proofErr w:type="spellEnd"/>
          </w:p>
        </w:tc>
      </w:tr>
      <w:tr w:rsidR="00465926" w:rsidRPr="00465926" w:rsidTr="008D5A28">
        <w:trPr>
          <w:trHeight w:val="1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Ярославна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Автозаправочная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станция</w:t>
            </w:r>
            <w:proofErr w:type="spellEnd"/>
          </w:p>
        </w:tc>
      </w:tr>
      <w:tr w:rsidR="00465926" w:rsidRPr="00465926" w:rsidTr="008D5A28">
        <w:trPr>
          <w:trHeight w:val="1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Арис-Северо-Запад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Автозаправочная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станция</w:t>
            </w:r>
            <w:proofErr w:type="spellEnd"/>
          </w:p>
        </w:tc>
      </w:tr>
      <w:tr w:rsidR="00F6328C" w:rsidRPr="00465926" w:rsidTr="008D5A28">
        <w:trPr>
          <w:trHeight w:val="167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28C" w:rsidRPr="00321A18" w:rsidRDefault="00F6328C" w:rsidP="000D7F55">
            <w:r w:rsidRPr="00321A18">
              <w:t>ИП Михайлов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28C" w:rsidRDefault="00F6328C" w:rsidP="000D7F55">
            <w:r w:rsidRPr="00321A18">
              <w:t>склады</w:t>
            </w:r>
          </w:p>
        </w:tc>
      </w:tr>
      <w:tr w:rsidR="00465926" w:rsidRPr="00465926" w:rsidTr="00F6328C">
        <w:trPr>
          <w:trHeight w:val="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926" w:rsidRPr="00465926" w:rsidTr="00F63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5" w:type="dxa"/>
          </w:tcPr>
          <w:p w:rsidR="00ED1715" w:rsidRDefault="00ED1715" w:rsidP="00ED1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«Мегаполис»</w:t>
            </w:r>
          </w:p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Производство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металлоконструкций</w:t>
            </w:r>
            <w:proofErr w:type="spellEnd"/>
          </w:p>
        </w:tc>
      </w:tr>
      <w:tr w:rsidR="00465926" w:rsidRPr="00465926" w:rsidTr="008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85" w:type="dxa"/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Аста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Автозапчасти</w:t>
            </w:r>
            <w:proofErr w:type="spellEnd"/>
          </w:p>
        </w:tc>
      </w:tr>
      <w:tr w:rsidR="00465926" w:rsidRPr="00465926" w:rsidTr="008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085" w:type="dxa"/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ЭнергоПромМонтаж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5926">
              <w:rPr>
                <w:rFonts w:ascii="Times New Roman" w:eastAsia="Times New Roman" w:hAnsi="Times New Roman" w:cs="Times New Roman"/>
                <w:lang w:val="en-US" w:eastAsia="ru-RU"/>
              </w:rPr>
              <w:t>Электричество</w:t>
            </w:r>
            <w:proofErr w:type="spellEnd"/>
          </w:p>
        </w:tc>
      </w:tr>
      <w:tr w:rsidR="00465926" w:rsidRPr="00465926" w:rsidTr="008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085" w:type="dxa"/>
          </w:tcPr>
          <w:p w:rsidR="00465926" w:rsidRPr="00465926" w:rsidRDefault="00465926" w:rsidP="004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АтлантТранссервис</w:t>
            </w:r>
            <w:proofErr w:type="spellEnd"/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237" w:type="dxa"/>
          </w:tcPr>
          <w:p w:rsidR="00465926" w:rsidRPr="00465926" w:rsidRDefault="00465926" w:rsidP="0046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26">
              <w:rPr>
                <w:rFonts w:ascii="Times New Roman" w:eastAsia="Times New Roman" w:hAnsi="Times New Roman" w:cs="Times New Roman"/>
                <w:lang w:eastAsia="ru-RU"/>
              </w:rPr>
              <w:t>Заготовка, хранение, переработка и реализация лома черных и цветных металлов</w:t>
            </w:r>
          </w:p>
        </w:tc>
      </w:tr>
    </w:tbl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компания ЗАО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является одним из старейших специализированных предприятий и ведущим мировым производителем ножниц, садового инвентаря посуды и прочих потребительских товаров, продаваемых под известными торговыми марками. </w:t>
      </w:r>
    </w:p>
    <w:p w:rsidR="00465926" w:rsidRPr="00465926" w:rsidRDefault="00465926" w:rsidP="00F6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производственно-диспетчерская станция (ЛПДС)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расположенная на территории Красноборского городского поселения, обеспечивает транспортировку светлых нефтепродуктов по магистральному нефтепродуктопроводу на четыре нефтебазы Санкт-Петербурга, снабжает предприятия и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30 июня состоялось открытие нового завода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металлоконструкций ООО «Мегаполис», </w:t>
      </w: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 заводе создано 80 новых рабочих мест.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2016 году 05 июля открылось новое предприятие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13 новыми рабочими местами.</w:t>
      </w:r>
      <w:r w:rsidRPr="004659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М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ногофункциональный логистический комплекс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промзона-2» предполагается разместить вдоль федеральной автомобильной магистрали «Россия» Москва-Санкт-Петербург, вблизи поселения на земельном участке площадью около </w:t>
      </w:r>
      <w:smartTag w:uri="urn:schemas-microsoft-com:office:smarttags" w:element="metricconverter">
        <w:smartTagPr>
          <w:attr w:name="ProductID" w:val="30 г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плотность застройки 50%. В результате реализации проекта может быть организовано до 800 новых рабочих мест.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состав многофункционального комплекса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промышленная              зона - 2» планируется включить: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складские комплексы класса «А», в том числе, специализированные помещения для хранения (холодильные или фармацевтические склады);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комплекс технического обслуживания большегрузных автомобилей;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общественно-деловой комплекс;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гостиничный комплекс.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Производственно-складская зона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территория, которая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к освоению на расчетный срок. Участки резервируются на землях сельскохозяйственного назначения (собственник участков ОАО «Племхоз им. Тельмана»).                                         Состав производственного комплекса в настоящее время не установлен.                             Площадь резервируемой территории составляет </w:t>
      </w:r>
      <w:smartTag w:uri="urn:schemas-microsoft-com:office:smarttags" w:element="metricconverter">
        <w:smartTagPr>
          <w:attr w:name="ProductID" w:val="251,5 га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251,5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развития производственно-логистической зоны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ориентированы на транспортно-логистические центры, промышленность. Актуальность и повышенный спрос на услуги данного направления развития поддерживаются увеличением объемов продовольственных и непродовольственных товаров при дефиците логистических центров.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в промышленности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Краснобрского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занимает обрабат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ывающее производство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2019 году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отгруженных товаров собственного производства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28C">
        <w:rPr>
          <w:rFonts w:ascii="Times New Roman" w:eastAsia="Times New Roman" w:hAnsi="Times New Roman" w:cs="Times New Roman"/>
          <w:sz w:val="24"/>
          <w:szCs w:val="24"/>
          <w:lang w:eastAsia="ru-RU"/>
        </w:rPr>
        <w:t>1105388,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года объем отгруженн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товаров увеличивается в  20</w:t>
      </w:r>
      <w:r w:rsidR="00F632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1154753,3 </w:t>
      </w:r>
      <w:proofErr w:type="spellStart"/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202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1200358,7тыс.руб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Красноборском городском поселении сохраняется стабильная положительная динамика относительно 2015 года производства металлургического производства и производство готовых металлических изделий (100,8%). 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926" w:rsidRPr="00465926" w:rsidRDefault="00465926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социально-экономического развития поселения на  </w:t>
      </w:r>
    </w:p>
    <w:p w:rsidR="00465926" w:rsidRPr="00465926" w:rsidRDefault="00666CE5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E36C2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9 -2021</w:t>
      </w:r>
      <w:r w:rsidR="00E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развитие Западной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поддержки инновационной деятельности;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социальной, инженерной, инновационной, транспортной и иных инфраструктур;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инвестиционной привлекательности;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 здравоохранения, образования, культуры, спорта и социальной защиты населения;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системы кадрового обеспечения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природопользование и обеспечение защиты окружающей природной среды;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налоговых поступлений в бюджеты всех уровней.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доходной части бюджета.</w:t>
      </w:r>
    </w:p>
    <w:p w:rsidR="00465926" w:rsidRPr="00465926" w:rsidRDefault="00465926" w:rsidP="0046592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B10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тупление доходов в бюджет в 201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(без учета межбюджетных трансфертов) составит 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доходной части бюджета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составит 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820CDA">
        <w:rPr>
          <w:rFonts w:ascii="Times New Roman" w:eastAsia="Arial Unicode MS" w:hAnsi="Times New Roman" w:cs="Times New Roman"/>
          <w:sz w:val="24"/>
          <w:szCs w:val="24"/>
          <w:lang w:eastAsia="ru-RU"/>
        </w:rPr>
        <w:t>34,4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34,5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294E20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 Налоговые доходы. </w:t>
      </w:r>
    </w:p>
    <w:p w:rsidR="00465926" w:rsidRPr="00465926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201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  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29,7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201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поступления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на 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составит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29,8 </w:t>
      </w:r>
      <w:proofErr w:type="spellStart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составят соответственно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29,9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30,1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6706E4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ожидается поступление </w:t>
      </w:r>
      <w:r w:rsidR="00465926"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</w:p>
    <w:p w:rsidR="00465926" w:rsidRPr="00465926" w:rsidRDefault="00B10D72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9,4 млн. 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Прогнозируемые поступления по налогу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доходы физических лиц на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2019 ,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составят соответственно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9,4 </w:t>
      </w:r>
      <w:proofErr w:type="spellStart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E20">
        <w:rPr>
          <w:rFonts w:ascii="Times New Roman" w:eastAsia="Arial Unicode MS" w:hAnsi="Times New Roman" w:cs="Times New Roman"/>
          <w:sz w:val="24"/>
          <w:szCs w:val="24"/>
          <w:lang w:eastAsia="ru-RU"/>
        </w:rPr>
        <w:t>9,4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 и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D13FFB" w:rsidRDefault="00465926" w:rsidP="00D13FF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поступление по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налогу на имущество физических лиц</w:t>
      </w:r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2,2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не </w:t>
      </w:r>
      <w:proofErr w:type="spellStart"/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привышает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</w:t>
      </w:r>
      <w:r w:rsidR="00A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 предыдущего года. 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по налогу на имущес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физических лиц на 2020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соответственно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2,27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proofErr w:type="gramStart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8 млн. рублей.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5926" w:rsidRPr="00465926" w:rsidRDefault="00465926" w:rsidP="00D1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поступление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налога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нормативе отчисления в местный бюджет 100%)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D0489E">
        <w:rPr>
          <w:rFonts w:ascii="Times New Roman" w:eastAsia="Arial Unicode MS" w:hAnsi="Times New Roman" w:cs="Times New Roman"/>
          <w:sz w:val="24"/>
          <w:szCs w:val="24"/>
          <w:lang w:eastAsia="ru-RU"/>
        </w:rPr>
        <w:t>15,8</w:t>
      </w:r>
      <w:r w:rsidRPr="004659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огнозируемые поступления на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составят соответственно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15,9 </w:t>
      </w:r>
      <w:proofErr w:type="spellStart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15,9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>15,9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отменой закона Ленинградской области от 12.10.2015г. №87-оз «О признании утратившим силу областного закона «Об установлении единых нормативов отчислений от транспортного налога»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перечислений транспортного налога в бюджет поселения не произошло.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Неналоговые доходы.</w:t>
      </w:r>
    </w:p>
    <w:p w:rsidR="00465926" w:rsidRPr="00465926" w:rsidRDefault="00465926" w:rsidP="00465926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7050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нен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201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             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12,03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неналоговых доходов на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составят 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12,3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8,82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9,0 </w:t>
      </w:r>
      <w:proofErr w:type="spellStart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поступление доходов от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имущества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63,2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Прогнозируемые поступл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 аренде имущества на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="0001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также </w:t>
      </w:r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463,2</w:t>
      </w:r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Безвозмездные поступления.</w:t>
      </w:r>
    </w:p>
    <w:p w:rsidR="00465926" w:rsidRPr="00465926" w:rsidRDefault="00465926" w:rsidP="00465926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014C97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в 201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доходов от </w:t>
      </w:r>
      <w:r w:rsidR="00465926"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безвозмездных поступлений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</w:t>
      </w:r>
      <w:r w:rsidR="00465926"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A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эти поступления составили </w:t>
      </w:r>
      <w:r w:rsidR="0013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15,5</w:t>
      </w:r>
      <w:r w:rsidR="00FF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</w:p>
    <w:p w:rsidR="00465926" w:rsidRPr="00465926" w:rsidRDefault="002D29B7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гнозируемые поступления  на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002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4,5 </w:t>
      </w:r>
      <w:proofErr w:type="spellStart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465926" w:rsidRPr="00465926" w:rsidRDefault="00465926" w:rsidP="004659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расходной части бюджета.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расходная часть бюд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программных расходов в 201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составит (без учета межб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юджетных трансфертов) в сумме 54,2 </w:t>
      </w:r>
      <w:proofErr w:type="spellStart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расходы на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и 2021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38,9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proofErr w:type="gramStart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39,5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«Общегосударственные расходы»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раз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ожидаемое исполнение в 201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12,07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ра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сходы по данному разделу на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и 2021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составят соответственно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11,2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B7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млн. рублей и 11,8 </w:t>
      </w:r>
      <w:proofErr w:type="spellStart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безопасность и правоохранительная деятельность» -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разделу</w:t>
      </w:r>
      <w:r w:rsidRPr="004659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финансируются мероприятия по муниципальной программе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"Безопасность в муниципальном образовании Красноборского городского поселения Тосненского района Ленинградской области 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Расходы на реализаци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программы в               201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составят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ра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по данному разделу на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и 2021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составят соответственно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835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тыс.рублей.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726 </w:t>
      </w:r>
      <w:proofErr w:type="spellStart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рамках программы, в целях повышения уровня пожарной безопасности п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у</w:t>
      </w: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стройство площадок к пожарным водоёмам.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Ожидаемое исполнение по разделу 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экономика» </w:t>
      </w:r>
      <w:r w:rsidR="0062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будут финансироваться мероприятия муниципальной программы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Развите</w:t>
      </w:r>
      <w:proofErr w:type="spellEnd"/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автомобильных дорог Красноборского городского поселения Тосненского района Ленинградской области 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местного бюджета на реализацию мероп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программы составят в 201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 – 4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20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2021 году – 4,9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данной муниципальной программы предусмотрена реализация мероприятий по двум подпрограммам: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Подпрограмма "Поддержание и развитие существующей сети автомобильных дорог общего пользования местного значения".  Подпрограмма нацелена на обеспечение нормативного состояния дорожного покрытия. Задачами программы являются: остановка процесса разрушения дорожного покрытия, приведение дорожного покрытия в удовлетворительное состояние.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Вышеуказанная подпрограмма предусматривает мероприятия по капитальному ремонту и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поселения;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Подпрограмма "Обеспечение условий для организации дорожного движения на территории Красноборского городского поселения Тосненского района Ленинградской области" предусматривающая следующие мероприятия по содержанию автомобильных дорог расположенных на территории поселения: 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очистке дорожного полотна от снега   в зимнее  время  (с подсыпкой песчаной   смесью – при обледенении дорожного покрытия);                                                                                -  восстановление профиля  дорог с частичным восстановлением дорожного полотна.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непрограммным расходам по данному разделу относятся мероприятия по землеустро</w:t>
      </w:r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 и землепользованию. В 201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они составят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64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 –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100,0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соответственно.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«Жилищно-коммунальное хозяйство»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данному разделу бюджета в 201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плановые ассигнования составят (с учето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межбюджетных трансфертов)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17,4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меньше в 2017 г.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Прогнозируемые р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по данному разделу на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соответственно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13,7 </w:t>
      </w:r>
      <w:proofErr w:type="spellStart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13,7 млн. рублей и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645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Ассигнования по данному разделу запланированы на осуществление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двух муниципальных программ: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Муниципальная программа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"Газификация территории Красноборского городского поселения Тосненского района Ленинградской области"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предусматривает  решить задачи по направленному использованию средств местного бюджета на оказание услуг по обслуживанию газовых сетей; Ассигно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 данной программе в 201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A2240" w:rsidRP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 </w:t>
      </w:r>
      <w:proofErr w:type="spellStart"/>
      <w:r w:rsidR="00EA2240" w:rsidRP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EA2240" w:rsidRP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A2240" w:rsidRP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г. 1,3 млн.руб.,2020</w:t>
      </w:r>
      <w:r w:rsidR="00EA2240" w:rsidRP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 </w:t>
      </w:r>
      <w:proofErr w:type="spellStart"/>
      <w:r w:rsidR="003B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в настоящей Программе целей предусматривается </w:t>
      </w:r>
    </w:p>
    <w:p w:rsidR="00465926" w:rsidRPr="00465926" w:rsidRDefault="00465926" w:rsidP="00465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улучшить условия около 2000  человек проживающих в  Красноборском городском поселении;</w:t>
      </w:r>
    </w:p>
    <w:p w:rsidR="00465926" w:rsidRPr="00465926" w:rsidRDefault="00465926" w:rsidP="00465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повысить уровень газоснабжения Красноборского городского поселения Тосненского района Ленинградской области  до </w:t>
      </w:r>
      <w:r w:rsidR="007B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70%.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65926" w:rsidRPr="00465926" w:rsidRDefault="00465926" w:rsidP="004659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обслуживать свыше 16 км надземного и подземного стального газопровода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Муниципальная программа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"Благоустройство территории  Красноборского городского поселения Тосненского района Ленинградской области"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по программе в 201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составят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12,2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2020 и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22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соответственно.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рамках вышеуказанной муниципальной программы предусмотрены следующие мероприятия: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 уличного освещения с использованием новых технологий (уличное освещение, обслуживание уличного освещения);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сбора, вывоза, утилизации ТБО, ликвидация несанкционированных свалок, покос травы;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Чистка канав; 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Замена водопропускных труб;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и обустройство детских площадок;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пешеходной дорожки к школе;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Спил аварийных деревьев;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Покос травы;</w:t>
      </w:r>
    </w:p>
    <w:p w:rsid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Установка площадок под сбор ТБО от МКД. </w:t>
      </w:r>
    </w:p>
    <w:p w:rsidR="007B542D" w:rsidRPr="00465926" w:rsidRDefault="007B542D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Установка дорожных знаков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непрограммным расходам по данному разделу относятся м</w:t>
      </w: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ероприятия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муниципального жилищного фонда, а также мероприятия </w:t>
      </w: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сфере коммунального хозяйства, направленные для обеспечения условий проживания населения, отвечающих стандартам качества.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«Социально-культурные мероприятия» - 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включает в себя расходы на реализацию мероприятий в соответствии с муниципальной программой по развитию культуры, физической культуры и спорта и молодежной политике.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муниципальной программы "Развитие культуры городского Красноборского городского поселения Тосненского района Ленинградской области" будут реализовываться мероприятия двух подпрограмм:</w:t>
      </w:r>
    </w:p>
    <w:p w:rsidR="007B542D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обеспечение деятельности МКУК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досуга и народ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творчества». Расходы в 201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Прогнозируемые ассигнования на финансирование мероприятий данной подпрограммы составят в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году 5,9 </w:t>
      </w:r>
      <w:proofErr w:type="spellStart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 20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начнется строительство Дома культуры в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Бор. Здание со зрительным залом на 150 мест, библиотекой, пристроенным спортивным корпусом. Общая площадь проектируемого здания – 14650,0кв.м., ориентировочная стоимость строительства составляет 133331,29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стоимость проектных работ 7052,50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сметная стоимость одного кв.м.39771,89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рамках подпрограммы "Молодежь Красноборского городского поселения Тосненского района Ленинградской области" планируются мероприятия, направленные на организацию отдыха и оздоровления де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подростков. Расходы в 201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составят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рублей. Прогнозируемые расходы на финансирование мероприятий по молодежной политике на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составят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645688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688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45688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Ожидаемое исполнение по разделу 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 и спорт»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Прогнозируемые расходы на финансирование мероприятий по и физи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культуре и спорту на </w:t>
      </w:r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2019году - 500</w:t>
      </w:r>
      <w:r w:rsidR="00645688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688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45688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45688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64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7B54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Ассигнования по данному разделу запланированы на осуществление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подпрограммы "Развитие физической культуры и массового спорта в Красноборском городском поселении Тосненского района Ленинградской области" муниципальной программы "Развитие физической культуры и   спорта на территории Красноборского городского поселения Тосненского района Ленинградской области». </w:t>
      </w:r>
    </w:p>
    <w:p w:rsidR="00465926" w:rsidRPr="00465926" w:rsidRDefault="00465926" w:rsidP="00465926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реализации мероприятий подпрограммы планируется достичь  увеличения доли населения,  систематически занимающегося физической культурой и спортом и принимающих участие в культурно-спортивных  мероприятиях по месту жительства.                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основных направлений деятельности для достижения поставленных задач необходимо создание условий: 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максимально возможного увеличения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бюджетообразующих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развити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экономического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потенциала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привлечения инвестиций и размещения новых производств;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и стимулированию режима экономии территориальных энергетических, водных и других ресурсов в жизнедеятельности поселения;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фондов, образуемых предпринимателями и предприятиями для развития и поддержки конкретных направлений.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поставленных задач должен включать принятие конкретных программ по определенным в плане социально-экономического развития приоритетным направлениям с учетом имеющихся финансовых возможностей поселения на основе широкого общественного обсуждения.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 w:rsidR="0063458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Платонова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63458D">
      <w:pPr>
        <w:tabs>
          <w:tab w:val="left" w:pos="231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sectPr w:rsidR="0063458D" w:rsidSect="003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CAC"/>
    <w:multiLevelType w:val="multilevel"/>
    <w:tmpl w:val="E708D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1C8E2BDC"/>
    <w:multiLevelType w:val="hybridMultilevel"/>
    <w:tmpl w:val="A4C2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DB1"/>
    <w:multiLevelType w:val="hybridMultilevel"/>
    <w:tmpl w:val="BC78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0F63E7"/>
    <w:multiLevelType w:val="hybridMultilevel"/>
    <w:tmpl w:val="BA82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96"/>
    <w:rsid w:val="00014C97"/>
    <w:rsid w:val="00057050"/>
    <w:rsid w:val="00136CD3"/>
    <w:rsid w:val="00144D37"/>
    <w:rsid w:val="002635AB"/>
    <w:rsid w:val="00294E20"/>
    <w:rsid w:val="002D29B7"/>
    <w:rsid w:val="002D788D"/>
    <w:rsid w:val="003535B6"/>
    <w:rsid w:val="00394FEB"/>
    <w:rsid w:val="00396665"/>
    <w:rsid w:val="003B599A"/>
    <w:rsid w:val="003F5800"/>
    <w:rsid w:val="00465926"/>
    <w:rsid w:val="004C6F49"/>
    <w:rsid w:val="005451C6"/>
    <w:rsid w:val="00562183"/>
    <w:rsid w:val="005D5A0B"/>
    <w:rsid w:val="00600230"/>
    <w:rsid w:val="00626C3D"/>
    <w:rsid w:val="0063046C"/>
    <w:rsid w:val="00632400"/>
    <w:rsid w:val="0063458D"/>
    <w:rsid w:val="00645688"/>
    <w:rsid w:val="00647318"/>
    <w:rsid w:val="00666CE5"/>
    <w:rsid w:val="006673A8"/>
    <w:rsid w:val="006706E4"/>
    <w:rsid w:val="0071047C"/>
    <w:rsid w:val="00720714"/>
    <w:rsid w:val="00776C73"/>
    <w:rsid w:val="00777651"/>
    <w:rsid w:val="00780281"/>
    <w:rsid w:val="007B542D"/>
    <w:rsid w:val="0080462F"/>
    <w:rsid w:val="00820CDA"/>
    <w:rsid w:val="0082294E"/>
    <w:rsid w:val="00843704"/>
    <w:rsid w:val="009027A0"/>
    <w:rsid w:val="009657C6"/>
    <w:rsid w:val="00A02E15"/>
    <w:rsid w:val="00A2268C"/>
    <w:rsid w:val="00A852F3"/>
    <w:rsid w:val="00AB04DC"/>
    <w:rsid w:val="00B10D72"/>
    <w:rsid w:val="00BA4EDD"/>
    <w:rsid w:val="00BF3232"/>
    <w:rsid w:val="00C21E96"/>
    <w:rsid w:val="00C75FB2"/>
    <w:rsid w:val="00CB55CA"/>
    <w:rsid w:val="00D0489E"/>
    <w:rsid w:val="00D13FFB"/>
    <w:rsid w:val="00D150F6"/>
    <w:rsid w:val="00DA0BE4"/>
    <w:rsid w:val="00DA4EA3"/>
    <w:rsid w:val="00DB51EE"/>
    <w:rsid w:val="00DB6742"/>
    <w:rsid w:val="00DF095C"/>
    <w:rsid w:val="00E00B95"/>
    <w:rsid w:val="00E36C29"/>
    <w:rsid w:val="00E74D8C"/>
    <w:rsid w:val="00E759A8"/>
    <w:rsid w:val="00EA2240"/>
    <w:rsid w:val="00ED1715"/>
    <w:rsid w:val="00EE36BB"/>
    <w:rsid w:val="00F6328C"/>
    <w:rsid w:val="00F64E6B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39</cp:revision>
  <cp:lastPrinted>2018-09-03T12:37:00Z</cp:lastPrinted>
  <dcterms:created xsi:type="dcterms:W3CDTF">2017-11-07T06:55:00Z</dcterms:created>
  <dcterms:modified xsi:type="dcterms:W3CDTF">2018-09-03T12:37:00Z</dcterms:modified>
</cp:coreProperties>
</file>